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2" w:name="Xd97d58ca1f5a08a92cd60420d172eee92aa9244"/>
    <w:p>
      <w:pPr>
        <w:pStyle w:val="Heading1"/>
        <w:spacing w:line="312" w:lineRule="auto" w:before="0" w:after="280"/>
        <w:keepNext/>
        <w:keepLines/>
      </w:pPr>
      <w:r>
        <w:rPr>
          <w:sz w:val="22"/>
        </w:rPr>
        <w:t xml:space="preserve">Exercices &amp; QCM — Hygiène Numérique et RGPD (ÉLÈVE)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Séquence 15 — Introduction Cybersécurité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Classe :</w:t>
      </w:r>
      <w:r>
        <w:rPr>
          <w:sz w:val="22"/>
        </w:rPr>
        <w:t xml:space="preserve"> </w:t>
      </w:r>
      <w:r>
        <w:rPr>
          <w:sz w:val="22"/>
        </w:rPr>
        <w:t xml:space="preserve">1CIEL |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Durée :</w:t>
      </w:r>
      <w:r>
        <w:rPr>
          <w:sz w:val="22"/>
        </w:rPr>
        <w:t xml:space="preserve"> </w:t>
      </w:r>
      <w:r>
        <w:rPr>
          <w:sz w:val="22"/>
        </w:rPr>
        <w:t xml:space="preserve">20 min</w:t>
      </w:r>
    </w:p>
    <w:bookmarkStart w:id="17" w:name="qcm-de-vérification-10-questions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QCM de vérification (10 questions)</w:t>
      </w:r>
    </w:p>
    <w:p>
      <w:pPr>
        <w:pStyle w:val="FirstParagraph"/>
        <w:spacing w:line="312" w:lineRule="auto" w:before="200" w:after="160"/>
        <w:keepNext/>
      </w:pPr>
      <w:r>
        <w:rPr>
          <w:b/>
          <w:bCs/>
          <w:sz w:val="22"/>
        </w:rPr>
        <w:t xml:space="preserve">Consigne :</w:t>
      </w:r>
      <w:r>
        <w:rPr>
          <w:sz w:val="22"/>
        </w:rPr>
        <w:t xml:space="preserve"> </w:t>
      </w:r>
      <w:r>
        <w:rPr>
          <w:sz w:val="22"/>
        </w:rPr>
        <w:t xml:space="preserve">Coche la ou les bonne(s) réponse(s) pour chaque question.</w:t>
      </w:r>
    </w:p>
    <w:p>
      <w:pPr>
        <w:pStyle w:val="FirstParagraph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Q1.</w:t>
      </w:r>
      <w:r>
        <w:rPr>
          <w:sz w:val="22"/>
        </w:rPr>
        <w:t xml:space="preserve"> </w:t>
      </w:r>
      <w:r>
        <w:rPr>
          <w:sz w:val="22"/>
        </w:rPr>
        <w:t xml:space="preserve">Quelle est la longueur minimale recommandée pour un mot de passe robuste ?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A. 6 caractères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B. 8 caractères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C. 12 caractères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D. 20 caractères</w:t>
      </w:r>
    </w:p>
    <w:p>
      <w:pPr>
        <w:pStyle w:val="FirstParagraph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Q2.</w:t>
      </w:r>
      <w:r>
        <w:rPr>
          <w:sz w:val="22"/>
        </w:rPr>
        <w:t xml:space="preserve"> </w:t>
      </w:r>
      <w:r>
        <w:rPr>
          <w:sz w:val="22"/>
        </w:rPr>
        <w:t xml:space="preserve">Parmi ces mots de passe, lequel est le PLUS robuste ?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sz w:val="22"/>
        </w:rPr>
        <w:t xml:space="preserve">A.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Password123!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B.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J'aime-manger-des-bouchons-réunionnais</w:t>
      </w:r>
    </w:p>
    <w:p>
      <w:pPr>
        <w:pStyle w:val="Compact"/>
        <w:numPr>
          <w:ilvl w:val="0"/>
          <w:numId w:val="1007"/>
        </w:numPr>
        <w:spacing w:line="312" w:lineRule="auto" w:before="0" w:after="160"/>
      </w:pPr>
      <w:r>
        <w:rPr>
          <w:sz w:val="22"/>
        </w:rPr>
        <w:t xml:space="preserve">C.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Tr0ub4dor</w:t>
      </w:r>
    </w:p>
    <w:p>
      <w:pPr>
        <w:pStyle w:val="Compact"/>
        <w:numPr>
          <w:ilvl w:val="0"/>
          <w:numId w:val="1008"/>
        </w:numPr>
        <w:spacing w:line="312" w:lineRule="auto" w:before="0" w:after="160"/>
      </w:pPr>
      <w:r>
        <w:rPr>
          <w:sz w:val="22"/>
        </w:rPr>
        <w:t xml:space="preserve">D.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12345678901234</w:t>
      </w:r>
    </w:p>
    <w:p>
      <w:pPr>
        <w:pStyle w:val="FirstParagraph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Q3.</w:t>
      </w:r>
      <w:r>
        <w:rPr>
          <w:sz w:val="22"/>
        </w:rPr>
        <w:t xml:space="preserve"> </w:t>
      </w:r>
      <w:r>
        <w:rPr>
          <w:sz w:val="22"/>
        </w:rPr>
        <w:t xml:space="preserve">Que signifie la règle de sauvegarde</w:t>
      </w:r>
      <w:r>
        <w:rPr>
          <w:sz w:val="22"/>
        </w:rPr>
        <w:t xml:space="preserve"> </w:t>
      </w:r>
      <w:r>
        <w:rPr>
          <w:sz w:val="22"/>
        </w:rPr>
        <w:t xml:space="preserve">“3-2-1”</w:t>
      </w:r>
      <w:r>
        <w:rPr>
          <w:sz w:val="22"/>
        </w:rPr>
        <w:t xml:space="preserve"> </w:t>
      </w:r>
      <w:r>
        <w:rPr>
          <w:sz w:val="22"/>
        </w:rPr>
        <w:t xml:space="preserve">?</w:t>
      </w:r>
    </w:p>
    <w:p>
      <w:pPr>
        <w:pStyle w:val="Compact"/>
        <w:numPr>
          <w:ilvl w:val="0"/>
          <w:numId w:val="1009"/>
        </w:numPr>
        <w:spacing w:line="312" w:lineRule="auto" w:before="0" w:after="160"/>
      </w:pPr>
      <w:r>
        <w:rPr>
          <w:sz w:val="22"/>
        </w:rPr>
        <w:t xml:space="preserve">A. 3 mots de passe, 2 emails, 1 téléphone</w:t>
      </w:r>
    </w:p>
    <w:p>
      <w:pPr>
        <w:pStyle w:val="Compact"/>
        <w:numPr>
          <w:ilvl w:val="0"/>
          <w:numId w:val="1010"/>
        </w:numPr>
        <w:spacing w:line="312" w:lineRule="auto" w:before="0" w:after="160"/>
      </w:pPr>
      <w:r>
        <w:rPr>
          <w:sz w:val="22"/>
        </w:rPr>
        <w:t xml:space="preserve">B. 3 copies, 2 supports différents, 1 copie hors site</w:t>
      </w:r>
    </w:p>
    <w:p>
      <w:pPr>
        <w:pStyle w:val="Compact"/>
        <w:numPr>
          <w:ilvl w:val="0"/>
          <w:numId w:val="1011"/>
        </w:numPr>
        <w:spacing w:line="312" w:lineRule="auto" w:before="0" w:after="160"/>
      </w:pPr>
      <w:r>
        <w:rPr>
          <w:sz w:val="22"/>
        </w:rPr>
        <w:t xml:space="preserve">C. 3 sauvegardes par jour, 2 par semaine, 1 par mois</w:t>
      </w:r>
    </w:p>
    <w:p>
      <w:pPr>
        <w:pStyle w:val="Compact"/>
        <w:numPr>
          <w:ilvl w:val="0"/>
          <w:numId w:val="1012"/>
        </w:numPr>
        <w:spacing w:line="312" w:lineRule="auto" w:before="0" w:after="160"/>
      </w:pPr>
      <w:r>
        <w:rPr>
          <w:sz w:val="22"/>
        </w:rPr>
        <w:t xml:space="preserve">D. 3 utilisateurs, 2 admins, 1 super-admin</w:t>
      </w:r>
    </w:p>
    <w:p>
      <w:pPr>
        <w:pStyle w:val="FirstParagraph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Q4.</w:t>
      </w:r>
      <w:r>
        <w:rPr>
          <w:sz w:val="22"/>
        </w:rPr>
        <w:t xml:space="preserve"> </w:t>
      </w:r>
      <w:r>
        <w:rPr>
          <w:sz w:val="22"/>
        </w:rPr>
        <w:t xml:space="preserve">Pourquoi est-il important de faire les mises à jour de sécurité ?</w:t>
      </w:r>
    </w:p>
    <w:p>
      <w:pPr>
        <w:pStyle w:val="Compact"/>
        <w:numPr>
          <w:ilvl w:val="0"/>
          <w:numId w:val="1013"/>
        </w:numPr>
        <w:spacing w:line="312" w:lineRule="auto" w:before="0" w:after="160"/>
      </w:pPr>
      <w:r>
        <w:rPr>
          <w:sz w:val="22"/>
        </w:rPr>
        <w:t xml:space="preserve">A. Pour avoir les dernières fonctionnalités</w:t>
      </w:r>
    </w:p>
    <w:p>
      <w:pPr>
        <w:pStyle w:val="Compact"/>
        <w:numPr>
          <w:ilvl w:val="0"/>
          <w:numId w:val="1014"/>
        </w:numPr>
        <w:spacing w:line="312" w:lineRule="auto" w:before="0" w:after="160"/>
      </w:pPr>
      <w:r>
        <w:rPr>
          <w:sz w:val="22"/>
        </w:rPr>
        <w:t xml:space="preserve">B. Pour corriger les failles de sécurité connues</w:t>
      </w:r>
    </w:p>
    <w:p>
      <w:pPr>
        <w:pStyle w:val="Compact"/>
        <w:numPr>
          <w:ilvl w:val="0"/>
          <w:numId w:val="1015"/>
        </w:numPr>
        <w:spacing w:line="312" w:lineRule="auto" w:before="0" w:after="160"/>
      </w:pPr>
      <w:r>
        <w:rPr>
          <w:sz w:val="22"/>
        </w:rPr>
        <w:t xml:space="preserve">C. Pour libérer de l’espace disque</w:t>
      </w:r>
    </w:p>
    <w:p>
      <w:pPr>
        <w:pStyle w:val="Compact"/>
        <w:numPr>
          <w:ilvl w:val="0"/>
          <w:numId w:val="1016"/>
        </w:numPr>
        <w:spacing w:line="312" w:lineRule="auto" w:before="0" w:after="160"/>
      </w:pPr>
      <w:r>
        <w:rPr>
          <w:sz w:val="22"/>
        </w:rPr>
        <w:t xml:space="preserve">D. Pour améliorer les graphismes</w:t>
      </w:r>
    </w:p>
    <w:p>
      <w:pPr>
        <w:pStyle w:val="FirstParagraph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Q5.</w:t>
      </w:r>
      <w:r>
        <w:rPr>
          <w:sz w:val="22"/>
        </w:rPr>
        <w:t xml:space="preserve"> </w:t>
      </w:r>
      <w:r>
        <w:rPr>
          <w:sz w:val="22"/>
        </w:rPr>
        <w:t xml:space="preserve">Qu’est-ce qu’une charte informatique ?</w:t>
      </w:r>
    </w:p>
    <w:p>
      <w:pPr>
        <w:pStyle w:val="Compact"/>
        <w:numPr>
          <w:ilvl w:val="0"/>
          <w:numId w:val="1017"/>
        </w:numPr>
        <w:spacing w:line="312" w:lineRule="auto" w:before="0" w:after="160"/>
      </w:pPr>
      <w:r>
        <w:rPr>
          <w:sz w:val="22"/>
        </w:rPr>
        <w:t xml:space="preserve">A. Un antivirus professionnel</w:t>
      </w:r>
    </w:p>
    <w:p>
      <w:pPr>
        <w:pStyle w:val="Compact"/>
        <w:numPr>
          <w:ilvl w:val="0"/>
          <w:numId w:val="1018"/>
        </w:numPr>
        <w:spacing w:line="312" w:lineRule="auto" w:before="0" w:after="160"/>
      </w:pPr>
      <w:r>
        <w:rPr>
          <w:sz w:val="22"/>
        </w:rPr>
        <w:t xml:space="preserve">B. Un document définissant les règles d’utilisation des outils informatiques</w:t>
      </w:r>
    </w:p>
    <w:p>
      <w:pPr>
        <w:pStyle w:val="Compact"/>
        <w:numPr>
          <w:ilvl w:val="0"/>
          <w:numId w:val="1019"/>
        </w:numPr>
        <w:spacing w:line="312" w:lineRule="auto" w:before="0" w:after="160"/>
      </w:pPr>
      <w:r>
        <w:rPr>
          <w:sz w:val="22"/>
        </w:rPr>
        <w:t xml:space="preserve">C. Une certification de compétences informatiques</w:t>
      </w:r>
    </w:p>
    <w:p>
      <w:pPr>
        <w:pStyle w:val="Compact"/>
        <w:numPr>
          <w:ilvl w:val="0"/>
          <w:numId w:val="1020"/>
        </w:numPr>
        <w:spacing w:line="312" w:lineRule="auto" w:before="0" w:after="160"/>
      </w:pPr>
      <w:r>
        <w:rPr>
          <w:sz w:val="22"/>
        </w:rPr>
        <w:t xml:space="preserve">D. Un logiciel de surveillance des employés</w:t>
      </w:r>
    </w:p>
    <w:p>
      <w:pPr>
        <w:pStyle w:val="FirstParagraph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Q6.</w:t>
      </w:r>
      <w:r>
        <w:rPr>
          <w:sz w:val="22"/>
        </w:rPr>
        <w:t xml:space="preserve"> </w:t>
      </w:r>
      <w:r>
        <w:rPr>
          <w:sz w:val="22"/>
        </w:rPr>
        <w:t xml:space="preserve">Que signifie l’acronyme RGPD ?</w:t>
      </w:r>
    </w:p>
    <w:p>
      <w:pPr>
        <w:pStyle w:val="Compact"/>
        <w:numPr>
          <w:ilvl w:val="0"/>
          <w:numId w:val="1021"/>
        </w:numPr>
        <w:spacing w:line="312" w:lineRule="auto" w:before="0" w:after="160"/>
      </w:pPr>
      <w:r>
        <w:rPr>
          <w:sz w:val="22"/>
        </w:rPr>
        <w:t xml:space="preserve">A. Règlement Général de Protection Digitale</w:t>
      </w:r>
    </w:p>
    <w:p>
      <w:pPr>
        <w:pStyle w:val="Compact"/>
        <w:numPr>
          <w:ilvl w:val="0"/>
          <w:numId w:val="1022"/>
        </w:numPr>
        <w:spacing w:line="312" w:lineRule="auto" w:before="0" w:after="160"/>
      </w:pPr>
      <w:r>
        <w:rPr>
          <w:sz w:val="22"/>
        </w:rPr>
        <w:t xml:space="preserve">B. Règlement Général sur la Protection des Données</w:t>
      </w:r>
    </w:p>
    <w:p>
      <w:pPr>
        <w:pStyle w:val="Compact"/>
        <w:numPr>
          <w:ilvl w:val="0"/>
          <w:numId w:val="1023"/>
        </w:numPr>
        <w:spacing w:line="312" w:lineRule="auto" w:before="0" w:after="160"/>
      </w:pPr>
      <w:r>
        <w:rPr>
          <w:sz w:val="22"/>
        </w:rPr>
        <w:t xml:space="preserve">C. Réglementation Générale des Procédures Dématérialisées</w:t>
      </w:r>
    </w:p>
    <w:p>
      <w:pPr>
        <w:pStyle w:val="Compact"/>
        <w:numPr>
          <w:ilvl w:val="0"/>
          <w:numId w:val="1024"/>
        </w:numPr>
        <w:spacing w:line="312" w:lineRule="auto" w:before="0" w:after="160"/>
      </w:pPr>
      <w:r>
        <w:rPr>
          <w:sz w:val="22"/>
        </w:rPr>
        <w:t xml:space="preserve">D. Registre Général des Prestataires de Données</w:t>
      </w:r>
    </w:p>
    <w:p>
      <w:pPr>
        <w:pStyle w:val="FirstParagraph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Q7.</w:t>
      </w:r>
      <w:r>
        <w:rPr>
          <w:sz w:val="22"/>
        </w:rPr>
        <w:t xml:space="preserve"> </w:t>
      </w:r>
      <w:r>
        <w:rPr>
          <w:sz w:val="22"/>
        </w:rPr>
        <w:t xml:space="preserve">Parmi ces informations, laquelle N’EST PAS une donnée personnelle au sens du RGPD ?</w:t>
      </w:r>
    </w:p>
    <w:p>
      <w:pPr>
        <w:pStyle w:val="Compact"/>
        <w:numPr>
          <w:ilvl w:val="0"/>
          <w:numId w:val="1025"/>
        </w:numPr>
        <w:spacing w:line="312" w:lineRule="auto" w:before="0" w:after="160"/>
      </w:pPr>
      <w:r>
        <w:rPr>
          <w:sz w:val="22"/>
        </w:rPr>
        <w:t xml:space="preserve">A. Une adresse email nominative</w:t>
      </w:r>
    </w:p>
    <w:p>
      <w:pPr>
        <w:pStyle w:val="Compact"/>
        <w:numPr>
          <w:ilvl w:val="0"/>
          <w:numId w:val="1026"/>
        </w:numPr>
        <w:spacing w:line="312" w:lineRule="auto" w:before="0" w:after="160"/>
      </w:pPr>
      <w:r>
        <w:rPr>
          <w:sz w:val="22"/>
        </w:rPr>
        <w:t xml:space="preserve">B. Un numéro de série de disque dur</w:t>
      </w:r>
    </w:p>
    <w:p>
      <w:pPr>
        <w:pStyle w:val="Compact"/>
        <w:numPr>
          <w:ilvl w:val="0"/>
          <w:numId w:val="1027"/>
        </w:numPr>
        <w:spacing w:line="312" w:lineRule="auto" w:before="0" w:after="160"/>
      </w:pPr>
      <w:r>
        <w:rPr>
          <w:sz w:val="22"/>
        </w:rPr>
        <w:t xml:space="preserve">C. Une adresse IP</w:t>
      </w:r>
    </w:p>
    <w:p>
      <w:pPr>
        <w:pStyle w:val="Compact"/>
        <w:numPr>
          <w:ilvl w:val="0"/>
          <w:numId w:val="1028"/>
        </w:numPr>
        <w:spacing w:line="312" w:lineRule="auto" w:before="0" w:after="160"/>
      </w:pPr>
      <w:r>
        <w:rPr>
          <w:sz w:val="22"/>
        </w:rPr>
        <w:t xml:space="preserve">D. Un numéro de téléphone</w:t>
      </w:r>
    </w:p>
    <w:p>
      <w:pPr>
        <w:pStyle w:val="FirstParagraph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Q8.</w:t>
      </w:r>
      <w:r>
        <w:rPr>
          <w:sz w:val="22"/>
        </w:rPr>
        <w:t xml:space="preserve"> </w:t>
      </w:r>
      <w:r>
        <w:rPr>
          <w:sz w:val="22"/>
        </w:rPr>
        <w:t xml:space="preserve">Quel droit RGPD te permet de demander la suppression de tes données ?</w:t>
      </w:r>
    </w:p>
    <w:p>
      <w:pPr>
        <w:pStyle w:val="Compact"/>
        <w:numPr>
          <w:ilvl w:val="0"/>
          <w:numId w:val="1029"/>
        </w:numPr>
        <w:spacing w:line="312" w:lineRule="auto" w:before="0" w:after="160"/>
      </w:pPr>
      <w:r>
        <w:rPr>
          <w:sz w:val="22"/>
        </w:rPr>
        <w:t xml:space="preserve">A. Droit d’accès</w:t>
      </w:r>
    </w:p>
    <w:p>
      <w:pPr>
        <w:pStyle w:val="Compact"/>
        <w:numPr>
          <w:ilvl w:val="0"/>
          <w:numId w:val="1030"/>
        </w:numPr>
        <w:spacing w:line="312" w:lineRule="auto" w:before="0" w:after="160"/>
      </w:pPr>
      <w:r>
        <w:rPr>
          <w:sz w:val="22"/>
        </w:rPr>
        <w:t xml:space="preserve">B. Droit de rectification</w:t>
      </w:r>
    </w:p>
    <w:p>
      <w:pPr>
        <w:pStyle w:val="Compact"/>
        <w:numPr>
          <w:ilvl w:val="0"/>
          <w:numId w:val="1031"/>
        </w:numPr>
        <w:spacing w:line="312" w:lineRule="auto" w:before="0" w:after="160"/>
      </w:pPr>
      <w:r>
        <w:rPr>
          <w:sz w:val="22"/>
        </w:rPr>
        <w:t xml:space="preserve">C. Droit à l’effacement (droit à l’oubli)</w:t>
      </w:r>
    </w:p>
    <w:p>
      <w:pPr>
        <w:pStyle w:val="Compact"/>
        <w:numPr>
          <w:ilvl w:val="0"/>
          <w:numId w:val="1032"/>
        </w:numPr>
        <w:spacing w:line="312" w:lineRule="auto" w:before="0" w:after="160"/>
      </w:pPr>
      <w:r>
        <w:rPr>
          <w:sz w:val="22"/>
        </w:rPr>
        <w:t xml:space="preserve">D. Droit de portabilité</w:t>
      </w:r>
    </w:p>
    <w:p>
      <w:pPr>
        <w:pStyle w:val="FirstParagraph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Q9.</w:t>
      </w:r>
      <w:r>
        <w:rPr>
          <w:sz w:val="22"/>
        </w:rPr>
        <w:t xml:space="preserve"> </w:t>
      </w:r>
      <w:r>
        <w:rPr>
          <w:sz w:val="22"/>
        </w:rPr>
        <w:t xml:space="preserve">Quelle est la sanction maximale prévue par le RGPD pour une entreprise ?</w:t>
      </w:r>
    </w:p>
    <w:p>
      <w:pPr>
        <w:pStyle w:val="Compact"/>
        <w:numPr>
          <w:ilvl w:val="0"/>
          <w:numId w:val="1033"/>
        </w:numPr>
        <w:spacing w:line="312" w:lineRule="auto" w:before="0" w:after="160"/>
      </w:pPr>
      <w:r>
        <w:rPr>
          <w:sz w:val="22"/>
        </w:rPr>
        <w:t xml:space="preserve">A. 10 000 € d’amende</w:t>
      </w:r>
    </w:p>
    <w:p>
      <w:pPr>
        <w:pStyle w:val="Compact"/>
        <w:numPr>
          <w:ilvl w:val="0"/>
          <w:numId w:val="1034"/>
        </w:numPr>
        <w:spacing w:line="312" w:lineRule="auto" w:before="0" w:after="160"/>
      </w:pPr>
      <w:r>
        <w:rPr>
          <w:sz w:val="22"/>
        </w:rPr>
        <w:t xml:space="preserve">B. 100 000 € d’amende</w:t>
      </w:r>
    </w:p>
    <w:p>
      <w:pPr>
        <w:pStyle w:val="Compact"/>
        <w:numPr>
          <w:ilvl w:val="0"/>
          <w:numId w:val="1035"/>
        </w:numPr>
        <w:spacing w:line="312" w:lineRule="auto" w:before="0" w:after="160"/>
      </w:pPr>
      <w:r>
        <w:rPr>
          <w:sz w:val="22"/>
        </w:rPr>
        <w:t xml:space="preserve">C. 20 millions d’euros ou 4% du CA mondial</w:t>
      </w:r>
    </w:p>
    <w:p>
      <w:pPr>
        <w:pStyle w:val="Compact"/>
        <w:numPr>
          <w:ilvl w:val="0"/>
          <w:numId w:val="1036"/>
        </w:numPr>
        <w:spacing w:line="312" w:lineRule="auto" w:before="0" w:after="160"/>
      </w:pPr>
      <w:r>
        <w:rPr>
          <w:sz w:val="22"/>
        </w:rPr>
        <w:t xml:space="preserve">D. Interdiction d’exercer pendant 1 an</w:t>
      </w:r>
    </w:p>
    <w:p>
      <w:pPr>
        <w:pStyle w:val="FirstParagraph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Q10.</w:t>
      </w:r>
      <w:r>
        <w:rPr>
          <w:sz w:val="22"/>
        </w:rPr>
        <w:t xml:space="preserve"> </w:t>
      </w:r>
      <w:r>
        <w:rPr>
          <w:sz w:val="22"/>
        </w:rPr>
        <w:t xml:space="preserve">Pourquoi ne faut-il PAS utiliser le même mot de passe sur plusieurs sites ?</w:t>
      </w:r>
    </w:p>
    <w:p>
      <w:pPr>
        <w:pStyle w:val="Compact"/>
        <w:numPr>
          <w:ilvl w:val="0"/>
          <w:numId w:val="1037"/>
        </w:numPr>
        <w:spacing w:line="312" w:lineRule="auto" w:before="0" w:after="160"/>
      </w:pPr>
      <w:r>
        <w:rPr>
          <w:sz w:val="22"/>
        </w:rPr>
        <w:t xml:space="preserve">A. C’est interdit par la loi</w:t>
      </w:r>
    </w:p>
    <w:p>
      <w:pPr>
        <w:pStyle w:val="Compact"/>
        <w:numPr>
          <w:ilvl w:val="0"/>
          <w:numId w:val="1038"/>
        </w:numPr>
        <w:spacing w:line="312" w:lineRule="auto" w:before="0" w:after="160"/>
      </w:pPr>
      <w:r>
        <w:rPr>
          <w:sz w:val="22"/>
        </w:rPr>
        <w:t xml:space="preserve">B. Si un site est piraté, tous tes autres comptes sont compromis</w:t>
      </w:r>
    </w:p>
    <w:p>
      <w:pPr>
        <w:pStyle w:val="Compact"/>
        <w:numPr>
          <w:ilvl w:val="0"/>
          <w:numId w:val="1039"/>
        </w:numPr>
        <w:spacing w:line="312" w:lineRule="auto" w:before="0" w:after="160"/>
      </w:pPr>
      <w:r>
        <w:rPr>
          <w:sz w:val="22"/>
        </w:rPr>
        <w:t xml:space="preserve">C. Les sites refusent les mots de passe déjà utilisés ailleurs</w:t>
      </w:r>
    </w:p>
    <w:p>
      <w:pPr>
        <w:pStyle w:val="Compact"/>
        <w:numPr>
          <w:ilvl w:val="0"/>
          <w:numId w:val="1040"/>
        </w:numPr>
        <w:spacing w:line="312" w:lineRule="auto" w:before="0" w:after="160"/>
      </w:pPr>
      <w:r>
        <w:rPr>
          <w:sz w:val="22"/>
        </w:rPr>
        <w:t xml:space="preserve">D. Cela ralentit la connexion</w:t>
      </w:r>
    </w:p>
    <w:bookmarkEnd w:id="17"/>
    <w:bookmarkStart w:id="21" w:name="exercices-dapplication-3-exercices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Exercices d’application (3 exercices)</w:t>
      </w:r>
    </w:p>
    <w:bookmarkStart w:id="18" w:name="Xeeb95104ceabb55c63171b248975c7989df1bde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Exercice 1 — Évaluer des mots de passe (4 points)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Évalue chaque mot de passe selon les critères : Longueur (≥12), Majuscules, Minuscules, Chiffres, Symboles.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1204"/>
        <w:gridCol w:w="1204"/>
        <w:gridCol w:w="1204"/>
        <w:gridCol w:w="1204"/>
        <w:gridCol w:w="1204"/>
        <w:gridCol w:w="1204"/>
        <w:gridCol w:w="1204"/>
        <w:gridCol w:w="1210"/>
      </w:tblGrid>
      <w:tr>
        <w:trPr>
          <w:tblHeader w:val="on"/>
        </w:trPr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Mot de passe</w:t>
            </w: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Long. ≥12</w:t>
            </w: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Maj.</w:t>
            </w: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Min.</w:t>
            </w: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Chiffres</w:t>
            </w: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Symboles</w:t>
            </w: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Score /5</w:t>
            </w:r>
          </w:p>
        </w:tc>
        <w:tc>
          <w:tcPr>
            <w:tcW w:type="dxa" w:w="12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Verdict</w:t>
            </w:r>
          </w:p>
        </w:tc>
      </w:tr>
      <w:tr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MonChien2024</w:t>
            </w: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2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P@ssw0rd!</w:t>
            </w: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2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Les-vacances-c'est-la-vie!</w:t>
            </w: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2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123456789012</w:t>
            </w: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2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</w:tbl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Verdict :</w:t>
      </w:r>
      <w:r>
        <w:rPr>
          <w:sz w:val="22"/>
        </w:rPr>
        <w:t xml:space="preserve"> </w:t>
      </w:r>
      <w:r>
        <w:rPr>
          <w:sz w:val="22"/>
        </w:rPr>
        <w:t xml:space="preserve">Robuste (4-5), Moyen (2-3), Faible (0-1)</w:t>
      </w:r>
    </w:p>
    <w:bookmarkEnd w:id="18"/>
    <w:bookmarkStart w:id="19" w:name="X4ef623527b82615a56de3b5a09ad82ff5f5a3aa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Exercice 2 — Appliquer la règle 3-2-1 (4 points)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L’entreprise TechRun 974 te demande de mettre en place une stratégie de sauvegarde pour ses fichiers clients (500 Go).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Complète le tableau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Élément de la règle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Solution proposée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Justification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3 copies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2 supports différents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1 copie hors site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bookmarkEnd w:id="19"/>
    <w:bookmarkStart w:id="20" w:name="Xcac49bcb10e3f65307fb9ba580f8518578a60f3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Exercice 3 — Identifier les droits RGPD (4 points)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Pour chaque situation, indique le droit RGPD que la personne peut invoquer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Situation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Droit RGPD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A. Marie veut savoir quelles données Facebook possède sur elle.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B. Jean souhaite corriger son adresse erronée chez son opérateur téléphonique.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C. Sophie veut supprimer son compte et toutes ses données sur un site de rencontres.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D. Paul veut récupérer ses données Spotify pour les transférer chez un concurrent.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</w:tbl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Droits disponibles :</w:t>
      </w:r>
      <w:r>
        <w:rPr>
          <w:sz w:val="22"/>
        </w:rPr>
        <w:t xml:space="preserve"> </w:t>
      </w:r>
      <w:r>
        <w:rPr>
          <w:sz w:val="22"/>
        </w:rPr>
        <w:t xml:space="preserve">Accès, Rectification, Effacement, Portabilité, Opposition, Limitation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>Total : 20 points</w:t>
      </w:r>
    </w:p>
    <w:p>
      <w:pPr>
        <w:pStyle w:val="Compact"/>
        <w:numPr>
          <w:ilvl w:val="0"/>
          <w:numId w:val="1041"/>
        </w:numPr>
        <w:spacing w:line="312" w:lineRule="auto" w:before="0" w:after="160"/>
      </w:pPr>
      <w:r>
        <w:rPr>
          <w:sz w:val="22"/>
        </w:rPr>
        <w:t xml:space="preserve">QCM : /10 (1 point par question)</w:t>
      </w:r>
    </w:p>
    <w:p>
      <w:pPr>
        <w:pStyle w:val="Compact"/>
        <w:numPr>
          <w:ilvl w:val="0"/>
          <w:numId w:val="1041"/>
        </w:numPr>
        <w:spacing w:line="312" w:lineRule="auto" w:before="0" w:after="160"/>
      </w:pPr>
      <w:r>
        <w:rPr>
          <w:sz w:val="22"/>
        </w:rPr>
        <w:t xml:space="preserve">Exercice 1 : /4 (1 point par ligne)</w:t>
      </w:r>
    </w:p>
    <w:p>
      <w:pPr>
        <w:pStyle w:val="Compact"/>
        <w:numPr>
          <w:ilvl w:val="0"/>
          <w:numId w:val="1041"/>
        </w:numPr>
        <w:spacing w:line="312" w:lineRule="auto" w:before="0" w:after="160"/>
      </w:pPr>
      <w:r>
        <w:rPr>
          <w:sz w:val="22"/>
        </w:rPr>
        <w:t xml:space="preserve">Exercice 2 : /4</w:t>
      </w:r>
    </w:p>
    <w:p>
      <w:pPr>
        <w:pStyle w:val="Compact"/>
        <w:numPr>
          <w:ilvl w:val="0"/>
          <w:numId w:val="1041"/>
        </w:numPr>
        <w:spacing w:line="312" w:lineRule="auto" w:before="0" w:after="160"/>
      </w:pPr>
      <w:r>
        <w:rPr>
          <w:sz w:val="22"/>
        </w:rPr>
        <w:t xml:space="preserve">Exercice 3 : /4 (1 point par situation)</w:t>
      </w:r>
    </w:p>
    <w:p>
      <w:pPr>
        <w:pStyle w:val="FirstParagraph"/>
        <w:spacing w:line="312" w:lineRule="auto" w:before="0" w:after="160"/>
      </w:pPr>
      <w:r>
        <w:rPr>
          <w:i/>
          <w:iCs/>
          <w:sz w:val="22"/>
        </w:rPr>
        <w:t xml:space="preserve">Fin des exercices — Remets ta copie au professeur</w:t>
      </w:r>
    </w:p>
    <w:bookmarkEnd w:id="20"/>
    <w:bookmarkEnd w:id="21"/>
    <w:bookmarkEnd w:id="22"/>
    <w:sectPr>
      <w:headerReference r:id="rId7" w:type="default"/>
      <w:footerReference r:id="rId8" w:type="default"/>
      <w:headerReference w:type="first" r:id="rId1"/>
      <w:headerReference w:type="even" r:id="rId2"/>
      <w:pgSz w:h="16838" w:orient="portrait" w:w="11906"/>
      <w:pgMar w:bottom="1008" w:footer="708" w:gutter="0" w:header="708" w:left="1008" w:right="1008" w:top="1008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6DEE5" w:sz="4" w:space="4"/>
      </w:pBdr>
      <w:spacing w:before="0" w:after="0" w:line="240" w:lineRule="auto"/>
      <w:tabs>
        <w:tab w:val="right" w:leader="none" w:pos="6280150"/>
      </w:tabs>
    </w:pPr>
    <w:r>
      <w:rPr>
        <w:rFonts w:ascii="Arial" w:cs="Arial" w:eastAsia="Arial" w:hAnsi="Arial"/>
        <w:color w:val="8A9CAB"/>
        <w:sz w:val="16"/>
        <w:szCs w:val="16"/>
      </w:rPr>
      <w:t>Exercices &amp; QCM — Hygiène Numérique et RGPD (ÉLÈVE)</w:t>
    </w:r>
    <w:r>
      <w:tab/>
    </w:r>
    <w:r>
      <w:rPr>
        <w:rFonts w:ascii="Arial" w:cs="Arial" w:eastAsia="Arial" w:hAnsi="Arial"/>
        <w:color w:val="8A9CAB"/>
        <w:sz w:val="16"/>
        <w:szCs w:val="16"/>
      </w:rPr>
      <w:t xml:space="preserve">Page </w:t>
    </w:r>
    <w:r>
      <w:rPr>
        <w:rFonts w:ascii="Arial" w:cs="Arial" w:eastAsia="Arial" w:hAnsi="Arial"/>
        <w:color w:val="8A9CAB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2C5F7C" w:sz="8" w:space="4"/>
      </w:pBdr>
      <w:spacing w:after="80"/>
      <w:tabs>
        <w:tab w:val="right" w:leader="none" w:pos="6280150"/>
      </w:tabs>
    </w:pPr>
    <w:r>
      <w:rPr>
        <w:rFonts w:ascii="Arial" w:cs="Arial" w:eastAsia="Arial" w:hAnsi="Arial"/>
        <w:color w:val="556B7A"/>
        <w:sz w:val="17"/>
        <w:szCs w:val="17"/>
      </w:rPr>
      <w:t>Bac Pro CIEL — 1CIEL</w:t>
    </w:r>
    <w:r>
      <w:t xml:space="preserve">	</w:t>
    </w:r>
    <w:r>
      <w:rPr>
        <w:rFonts w:ascii="Arial" w:cs="Arial" w:eastAsia="Arial" w:hAnsi="Arial"/>
        <w:b/>
        <w:bCs/>
        <w:color w:val="2C5F7C"/>
        <w:sz w:val="17"/>
        <w:szCs w:val="17"/>
      </w:rPr>
      <w:t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  <w:lvlOverride w:ilvl="0">
      <w:startOverride w:val="1"/>
    </w:lvlOverride>
  </w:num>
  <w:num w:numId="1000">
    <w:abstractNumId w:val="990"/>
  </w:num>
  <w:num w:numId="1001">
    <w:abstractNumId w:val="992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2"/>
  </w:num>
  <w:num w:numId="1007">
    <w:abstractNumId w:val="992"/>
  </w:num>
  <w:num w:numId="1008">
    <w:abstractNumId w:val="992"/>
  </w:num>
  <w:num w:numId="1009">
    <w:abstractNumId w:val="992"/>
  </w:num>
  <w:num w:numId="1010">
    <w:abstractNumId w:val="992"/>
  </w:num>
  <w:num w:numId="1011">
    <w:abstractNumId w:val="992"/>
  </w:num>
  <w:num w:numId="1012">
    <w:abstractNumId w:val="992"/>
  </w:num>
  <w:num w:numId="1013">
    <w:abstractNumId w:val="992"/>
  </w:num>
  <w:num w:numId="1014">
    <w:abstractNumId w:val="992"/>
  </w:num>
  <w:num w:numId="1015">
    <w:abstractNumId w:val="992"/>
  </w:num>
  <w:num w:numId="1016">
    <w:abstractNumId w:val="992"/>
  </w:num>
  <w:num w:numId="1017">
    <w:abstractNumId w:val="992"/>
  </w:num>
  <w:num w:numId="1018">
    <w:abstractNumId w:val="992"/>
  </w:num>
  <w:num w:numId="1019">
    <w:abstractNumId w:val="992"/>
  </w:num>
  <w:num w:numId="1020">
    <w:abstractNumId w:val="992"/>
  </w:num>
  <w:num w:numId="1021">
    <w:abstractNumId w:val="992"/>
  </w:num>
  <w:num w:numId="1022">
    <w:abstractNumId w:val="992"/>
  </w:num>
  <w:num w:numId="1023">
    <w:abstractNumId w:val="992"/>
  </w:num>
  <w:num w:numId="1024">
    <w:abstractNumId w:val="992"/>
  </w:num>
  <w:num w:numId="1025">
    <w:abstractNumId w:val="992"/>
  </w:num>
  <w:num w:numId="1026">
    <w:abstractNumId w:val="992"/>
  </w:num>
  <w:num w:numId="1027">
    <w:abstractNumId w:val="992"/>
  </w:num>
  <w:num w:numId="1028">
    <w:abstractNumId w:val="992"/>
  </w:num>
  <w:num w:numId="1029">
    <w:abstractNumId w:val="992"/>
  </w:num>
  <w:num w:numId="1030">
    <w:abstractNumId w:val="992"/>
  </w:num>
  <w:num w:numId="1031">
    <w:abstractNumId w:val="992"/>
  </w:num>
  <w:num w:numId="1032">
    <w:abstractNumId w:val="992"/>
  </w:num>
  <w:num w:numId="1033">
    <w:abstractNumId w:val="992"/>
  </w:num>
  <w:num w:numId="1034">
    <w:abstractNumId w:val="992"/>
  </w:num>
  <w:num w:numId="1035">
    <w:abstractNumId w:val="992"/>
  </w:num>
  <w:num w:numId="1036">
    <w:abstractNumId w:val="992"/>
  </w:num>
  <w:num w:numId="1037">
    <w:abstractNumId w:val="992"/>
  </w:num>
  <w:num w:numId="1038">
    <w:abstractNumId w:val="992"/>
  </w:num>
  <w:num w:numId="1039">
    <w:abstractNumId w:val="992"/>
  </w:num>
  <w:num w:numId="1040">
    <w:abstractNumId w:val="992"/>
  </w:num>
  <w:num w:numId="104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displayBackgroundShape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6" Type="http://schemas.openxmlformats.org/officeDocument/2006/relationships/numbering" Target="numbering.xml"/><Relationship Id="rId15" Type="http://schemas.openxmlformats.org/officeDocument/2006/relationships/styles" Target="styles.xml"/><Relationship Id="rId14" Type="http://schemas.openxmlformats.org/officeDocument/2006/relationships/settings" Target="settings.xml"/><Relationship Id="rId13" Type="http://schemas.openxmlformats.org/officeDocument/2006/relationships/webSettings" Target="web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notes" Target="footnotes.xml"/><Relationship Id="rId9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1" Type="http://schemas.openxmlformats.org/officeDocument/2006/relationships/header" Target="header2.xml"/><Relationship Id="rId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2026-04-27T18:02:52Z</dcterms:created>
  <dcterms:modified xsi:type="dcterms:W3CDTF">2026-04-27T18:02:52Z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