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34" w:name="X98efcefd6d613307b20e72a6faa1fa4cde402ce"/>
    <w:p>
      <w:pPr>
        <w:pStyle w:val="Heading1"/>
        <w:spacing w:line="312" w:lineRule="auto" w:before="0" w:after="280"/>
        <w:keepNext/>
        <w:keepLines/>
      </w:pPr>
      <w:r>
        <w:rPr>
          <w:sz w:val="22"/>
        </w:rPr>
        <w:t xml:space="preserve">00 — Fiche de synthese (co-construction) — Introduction cybersécurité (ELEVE)</w:t>
      </w:r>
    </w:p>
    <w:p>
      <w:pPr>
        <w:pStyle w:val="BlockText"/>
        <w:spacing w:line="312" w:lineRule="auto" w:before="0" w:after="160"/>
      </w:pPr>
      <w:r>
        <w:rPr>
          <w:sz w:val="22"/>
        </w:rPr>
        <w:t xml:space="preserve">Sequence D15 — TechRun 974 — Menaces, acteurs, hygiene numerique, RGPD</w:t>
      </w:r>
      <w:r>
        <w:rPr>
          <w:sz w:val="22"/>
        </w:rPr>
        <w:t xml:space="preserve"> </w:t>
      </w:r>
      <w:r>
        <w:rPr>
          <w:sz w:val="22"/>
        </w:rPr>
        <w:t xml:space="preserve">A completer en classe apres les TD / cours. Garde cette fiche pour reviser.</w:t>
      </w:r>
    </w:p>
    <w:bookmarkStart w:id="17" w:name="Xc0245b8ec52d5341a41098f005cbcb6948fa433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1) Fil rouge pro (a reformuler avec la classe)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Entreprise fictive :</w:t>
      </w:r>
      <w:r>
        <w:rPr>
          <w:sz w:val="22"/>
        </w:rPr>
        <w:t xml:space="preserve"> </w:t>
      </w:r>
      <w:r>
        <w:rPr>
          <w:sz w:val="22"/>
        </w:rPr>
        <w:t>TechRun 974 (PME, La Réunion)</w:t>
      </w:r>
    </w:p>
    <w:p>
      <w:pPr>
        <w:pStyle w:val="BodyText"/>
        <w:spacing w:line="312" w:lineRule="auto" w:before="0" w:after="160"/>
      </w:pPr>
      <w:r>
        <w:rPr>
          <w:b/>
          <w:bCs/>
          <w:sz w:val="22"/>
        </w:rPr>
        <w:t xml:space="preserve">Probleme :</w:t>
      </w:r>
      <w:r>
        <w:rPr>
          <w:sz w:val="22"/>
        </w:rPr>
        <w:t xml:space="preserve"> </w:t>
      </w:r>
      <w:r>
        <w:rPr>
          <w:sz w:val="22"/>
        </w:rPr>
        <w:t xml:space="preserve">____________________________________________________________</w:t>
      </w:r>
    </w:p>
    <w:p>
      <w:pPr>
        <w:pStyle w:val="BodyText"/>
        <w:spacing w:line="312" w:lineRule="auto" w:before="0" w:after="160"/>
      </w:pPr>
      <w:r>
        <w:rPr>
          <w:b/>
          <w:bCs/>
          <w:sz w:val="22"/>
        </w:rPr>
        <w:t xml:space="preserve">Mission du technicien :</w:t>
      </w:r>
      <w:r>
        <w:rPr>
          <w:sz w:val="22"/>
        </w:rPr>
        <w:t xml:space="preserve"> </w:t>
      </w:r>
      <w:r>
        <w:rPr>
          <w:sz w:val="22"/>
        </w:rPr>
        <w:t xml:space="preserve">________________________________________________</w:t>
      </w:r>
    </w:p>
    <w:p>
      <w:pPr>
        <w:pStyle w:val="BodyText"/>
        <w:spacing w:line="312" w:lineRule="auto" w:before="0" w:after="160"/>
      </w:pPr>
      <w:r>
        <w:rPr>
          <w:b/>
          <w:bCs/>
          <w:sz w:val="22"/>
        </w:rPr>
        <w:t xml:space="preserve">Livrable attendu :</w:t>
      </w:r>
      <w:r>
        <w:rPr>
          <w:sz w:val="22"/>
        </w:rPr>
        <w:t xml:space="preserve"> </w:t>
      </w:r>
      <w:r>
        <w:rPr>
          <w:sz w:val="22"/>
        </w:rPr>
        <w:t xml:space="preserve">recommandations de securite + synthese cyber</w:t>
      </w:r>
    </w:p>
    <w:bookmarkEnd w:id="17"/>
    <w:bookmarkStart w:id="19" w:name="menaces-principales-tableau-de-synthese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2) Menaces principales (tableau de synthese)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D6DEE5" w:space="0"/>
          <w:left w:val="single" w:sz="4" w:color="D6DEE5" w:space="0"/>
          <w:bottom w:val="single" w:sz="4" w:color="D6DEE5" w:space="0"/>
          <w:right w:val="single" w:sz="4" w:color="D6DEE5" w:space="0"/>
          <w:insideH w:val="single" w:sz="4" w:color="D6DEE5" w:space="0"/>
          <w:insideV w:val="single" w:sz="4" w:color="D6DEE5" w:space="0"/>
        </w:tblBorders>
      </w:tblPr>
      <w:tblGrid>
        <w:gridCol w:w="2409"/>
        <w:gridCol w:w="2409"/>
        <w:gridCol w:w="2410"/>
        <w:gridCol w:w="2410"/>
      </w:tblGrid>
      <w:tr>
        <w:trPr>
          <w:tblHeader w:val="on"/>
        </w:trPr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Menace</w:t>
            </w:r>
          </w:p>
        </w:tc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Definition simple</w:t>
            </w: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Exemple concret</w:t>
            </w: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Signe(s) de reconnaissance</w:t>
            </w:r>
          </w:p>
        </w:tc>
      </w:tr>
      <w:tr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Malware</w:t>
            </w:r>
          </w:p>
        </w:tc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</w:tr>
      <w:tr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Phishing</w:t>
            </w:r>
          </w:p>
        </w:tc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</w:tr>
      <w:tr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Ransomware</w:t>
            </w:r>
          </w:p>
        </w:tc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</w:tr>
      <w:tr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Ingenierie sociale</w:t>
            </w:r>
          </w:p>
        </w:tc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</w:tr>
    </w:tbl>
    <w:bookmarkStart w:id="18" w:name="X77822f3c8d7a63331d2b2bef5c70f6d1b4bbcf5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Les 5 indices utiles pour repérer un phishing</w:t>
      </w:r>
    </w:p>
    <w:bookmarkEnd w:id="18"/>
    <w:bookmarkEnd w:id="19"/>
    <w:bookmarkStart w:id="20" w:name="X2b615335a715c0dd42a985039c4bea126f00b41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3) Acteurs cyber en France — ANSSI / CNIL (comparatif)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D6DEE5" w:space="0"/>
          <w:left w:val="single" w:sz="4" w:color="D6DEE5" w:space="0"/>
          <w:bottom w:val="single" w:sz="4" w:color="D6DEE5" w:space="0"/>
          <w:right w:val="single" w:sz="4" w:color="D6DEE5" w:space="0"/>
          <w:insideH w:val="single" w:sz="4" w:color="D6DEE5" w:space="0"/>
          <w:insideV w:val="single" w:sz="4" w:color="D6DEE5" w:space="0"/>
        </w:tblBorders>
      </w:tblPr>
      <w:tblGrid>
        <w:gridCol w:w="3212"/>
        <w:gridCol w:w="3213"/>
        <w:gridCol w:w="3213"/>
      </w:tblGrid>
      <w:tr>
        <w:trPr>
          <w:tblHeader w:val="on"/>
        </w:trP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Critere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ANSSI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CNIL</w:t>
            </w: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Role principal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Domaine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Quand les contacter ?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Ressource utile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Lien avec le RGPD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</w:tr>
    </w:tbl>
    <w:p>
      <w:pPr>
        <w:pStyle w:val="BodyText"/>
        <w:spacing w:line="312" w:lineRule="auto" w:before="0" w:after="160"/>
      </w:pPr>
      <w:r>
        <w:rPr>
          <w:b/>
          <w:bCs/>
          <w:sz w:val="22"/>
        </w:rPr>
        <w:t xml:space="preserve">Phrase memoire :</w:t>
      </w:r>
    </w:p>
    <w:p>
      <w:pPr>
        <w:pStyle w:val="Compact"/>
        <w:numPr>
          <w:ilvl w:val="0"/>
          <w:numId w:val="1002"/>
        </w:numPr>
        <w:spacing w:line="312" w:lineRule="auto" w:before="0" w:after="160"/>
      </w:pPr>
      <w:r>
        <w:rPr>
          <w:sz w:val="22"/>
        </w:rPr>
        <w:t xml:space="preserve">ANSSI = _________________________________________________</w:t>
      </w:r>
    </w:p>
    <w:p>
      <w:pPr>
        <w:pStyle w:val="Compact"/>
        <w:numPr>
          <w:ilvl w:val="0"/>
          <w:numId w:val="1002"/>
        </w:numPr>
        <w:spacing w:line="312" w:lineRule="auto" w:before="0" w:after="160"/>
      </w:pPr>
      <w:r>
        <w:rPr>
          <w:sz w:val="22"/>
        </w:rPr>
        <w:t xml:space="preserve">CNIL = _________________________________________________</w:t>
      </w:r>
    </w:p>
    <w:bookmarkEnd w:id="20"/>
    <w:bookmarkStart w:id="25" w:name="hygiene-numerique-procedure-gestes-pro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4) Hygiene numerique (procedure / gestes pro)</w:t>
      </w:r>
    </w:p>
    <w:bookmarkStart w:id="21" w:name="a.-mots-de-passe-robustes-checklist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A. Mots de passe robustes (checklist)</w:t>
      </w:r>
    </w:p>
    <w:p>
      <w:pPr>
        <w:pStyle w:val="Compact"/>
        <w:numPr>
          <w:ilvl w:val="0"/>
          <w:numId w:val="1003"/>
        </w:numPr>
        <w:spacing w:line="312" w:lineRule="auto" w:before="0" w:after="160"/>
      </w:pPr>
      <w:r>
        <w:rPr>
          <w:sz w:val="22"/>
        </w:rPr>
        <w:t xml:space="preserve">Longueur suffisante (&gt;= 12 caracteres)</w:t>
      </w:r>
    </w:p>
    <w:p>
      <w:pPr>
        <w:pStyle w:val="Compact"/>
        <w:numPr>
          <w:ilvl w:val="0"/>
          <w:numId w:val="1004"/>
        </w:numPr>
        <w:spacing w:line="312" w:lineRule="auto" w:before="0" w:after="160"/>
      </w:pPr>
      <w:r>
        <w:rPr>
          <w:sz w:val="22"/>
        </w:rPr>
        <w:t xml:space="preserve">Melange lettres / chiffres / caracteres speciaux</w:t>
      </w:r>
    </w:p>
    <w:p>
      <w:pPr>
        <w:pStyle w:val="Compact"/>
        <w:numPr>
          <w:ilvl w:val="0"/>
          <w:numId w:val="1005"/>
        </w:numPr>
        <w:spacing w:line="312" w:lineRule="auto" w:before="0" w:after="160"/>
      </w:pPr>
      <w:r>
        <w:rPr>
          <w:sz w:val="22"/>
        </w:rPr>
        <w:t xml:space="preserve">Pas d’info perso evidente</w:t>
      </w:r>
    </w:p>
    <w:p>
      <w:pPr>
        <w:pStyle w:val="Compact"/>
        <w:numPr>
          <w:ilvl w:val="0"/>
          <w:numId w:val="1006"/>
        </w:numPr>
        <w:spacing w:line="312" w:lineRule="auto" w:before="0" w:after="160"/>
      </w:pPr>
      <w:r>
        <w:rPr>
          <w:sz w:val="22"/>
        </w:rPr>
        <w:t xml:space="preserve">Pas de reutilisation du meme mot de passe</w:t>
      </w:r>
    </w:p>
    <w:p>
      <w:pPr>
        <w:pStyle w:val="Compact"/>
        <w:numPr>
          <w:ilvl w:val="0"/>
          <w:numId w:val="1007"/>
        </w:numPr>
        <w:spacing w:line="312" w:lineRule="auto" w:before="0" w:after="160"/>
      </w:pPr>
      <w:r>
        <w:rPr>
          <w:sz w:val="22"/>
        </w:rPr>
        <w:t xml:space="preserve">Gestionnaire de mots de passe si possible</w:t>
      </w:r>
    </w:p>
    <w:bookmarkEnd w:id="21"/>
    <w:bookmarkStart w:id="22" w:name="b.-sauvegarde-3-2-1-a-expliquer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B. Sauvegarde 3-2-1 (a expliquer)</w:t>
      </w:r>
    </w:p>
    <w:p>
      <w:pPr>
        <w:pStyle w:val="Compact"/>
        <w:numPr>
          <w:ilvl w:val="0"/>
          <w:numId w:val="1008"/>
        </w:numPr>
        <w:spacing w:line="312" w:lineRule="auto" w:before="0" w:after="160"/>
      </w:pPr>
      <w:r>
        <w:rPr>
          <w:b/>
          <w:bCs/>
          <w:sz w:val="22"/>
        </w:rPr>
        <w:t xml:space="preserve">3</w:t>
      </w:r>
      <w:r>
        <w:rPr>
          <w:sz w:val="22"/>
        </w:rPr>
        <w:t xml:space="preserve"> </w:t>
      </w:r>
      <w:r>
        <w:rPr>
          <w:sz w:val="22"/>
        </w:rPr>
        <w:t xml:space="preserve">= _________________________________________________</w:t>
      </w:r>
    </w:p>
    <w:p>
      <w:pPr>
        <w:pStyle w:val="Compact"/>
        <w:numPr>
          <w:ilvl w:val="0"/>
          <w:numId w:val="1008"/>
        </w:numPr>
        <w:spacing w:line="312" w:lineRule="auto" w:before="0" w:after="160"/>
      </w:pPr>
      <w:r>
        <w:rPr>
          <w:b/>
          <w:bCs/>
          <w:sz w:val="22"/>
        </w:rPr>
        <w:t xml:space="preserve">2</w:t>
      </w:r>
      <w:r>
        <w:rPr>
          <w:sz w:val="22"/>
        </w:rPr>
        <w:t xml:space="preserve"> </w:t>
      </w:r>
      <w:r>
        <w:rPr>
          <w:sz w:val="22"/>
        </w:rPr>
        <w:t xml:space="preserve">= _________________________________________________</w:t>
      </w:r>
    </w:p>
    <w:p>
      <w:pPr>
        <w:pStyle w:val="Compact"/>
        <w:numPr>
          <w:ilvl w:val="0"/>
          <w:numId w:val="1008"/>
        </w:numPr>
        <w:spacing w:line="312" w:lineRule="auto" w:before="0" w:after="160"/>
      </w:pPr>
      <w:r>
        <w:rPr>
          <w:b/>
          <w:bCs/>
          <w:sz w:val="22"/>
        </w:rPr>
        <w:t xml:space="preserve">1</w:t>
      </w:r>
      <w:r>
        <w:rPr>
          <w:sz w:val="22"/>
        </w:rPr>
        <w:t xml:space="preserve"> </w:t>
      </w:r>
      <w:r>
        <w:rPr>
          <w:sz w:val="22"/>
        </w:rPr>
        <w:t xml:space="preserve">= _________________________________________________</w:t>
      </w:r>
    </w:p>
    <w:bookmarkEnd w:id="22"/>
    <w:bookmarkStart w:id="23" w:name="X0eabc441ee28c202261807be738a4fcdb8a7723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C. URL suspecte : procedure simple (a memoriser)</w:t>
      </w:r>
    </w:p>
    <w:p>
      <w:pPr>
        <w:pStyle w:val="Compact"/>
        <w:numPr>
          <w:ilvl w:val="0"/>
          <w:numId w:val="1009"/>
        </w:numPr>
        <w:spacing w:line="312" w:lineRule="auto" w:before="0" w:after="160"/>
      </w:pPr>
      <w:r>
        <w:rPr>
          <w:sz w:val="22"/>
        </w:rPr>
        <w:t xml:space="preserve">Je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regarde</w:t>
      </w:r>
      <w:r>
        <w:rPr>
          <w:sz w:val="22"/>
        </w:rPr>
        <w:t xml:space="preserve"> </w:t>
      </w:r>
      <w:r>
        <w:rPr>
          <w:sz w:val="22"/>
        </w:rPr>
        <w:t xml:space="preserve">____________________________________________</w:t>
      </w:r>
    </w:p>
    <w:p>
      <w:pPr>
        <w:pStyle w:val="Compact"/>
        <w:numPr>
          <w:ilvl w:val="0"/>
          <w:numId w:val="1009"/>
        </w:numPr>
        <w:spacing w:line="312" w:lineRule="auto" w:before="0" w:after="160"/>
      </w:pPr>
      <w:r>
        <w:rPr>
          <w:sz w:val="22"/>
        </w:rPr>
        <w:t xml:space="preserve">Je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verifie</w:t>
      </w:r>
      <w:r>
        <w:rPr>
          <w:sz w:val="22"/>
        </w:rPr>
        <w:t xml:space="preserve"> </w:t>
      </w:r>
      <w:r>
        <w:rPr>
          <w:sz w:val="22"/>
        </w:rPr>
        <w:t xml:space="preserve">____________________________________________</w:t>
      </w:r>
    </w:p>
    <w:p>
      <w:pPr>
        <w:pStyle w:val="Compact"/>
        <w:numPr>
          <w:ilvl w:val="0"/>
          <w:numId w:val="1009"/>
        </w:numPr>
        <w:spacing w:line="312" w:lineRule="auto" w:before="0" w:after="160"/>
      </w:pPr>
      <w:r>
        <w:rPr>
          <w:sz w:val="22"/>
        </w:rPr>
        <w:t xml:space="preserve">Je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compare</w:t>
      </w:r>
      <w:r>
        <w:rPr>
          <w:sz w:val="22"/>
        </w:rPr>
        <w:t xml:space="preserve"> </w:t>
      </w:r>
      <w:r>
        <w:rPr>
          <w:sz w:val="22"/>
        </w:rPr>
        <w:t xml:space="preserve">____________________________________________</w:t>
      </w:r>
    </w:p>
    <w:p>
      <w:pPr>
        <w:pStyle w:val="Compact"/>
        <w:numPr>
          <w:ilvl w:val="0"/>
          <w:numId w:val="1009"/>
        </w:numPr>
        <w:spacing w:line="312" w:lineRule="auto" w:before="0" w:after="160"/>
      </w:pPr>
      <w:r>
        <w:rPr>
          <w:sz w:val="22"/>
        </w:rPr>
        <w:t xml:space="preserve">Je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teste sans cliquer</w:t>
      </w:r>
      <w:r>
        <w:rPr>
          <w:sz w:val="22"/>
        </w:rPr>
        <w:t xml:space="preserve"> </w:t>
      </w:r>
      <w:r>
        <w:rPr>
          <w:sz w:val="22"/>
        </w:rPr>
        <w:t xml:space="preserve">(outil/procedure validee) : __________</w:t>
      </w:r>
    </w:p>
    <w:p>
      <w:pPr>
        <w:pStyle w:val="Compact"/>
        <w:numPr>
          <w:ilvl w:val="0"/>
          <w:numId w:val="1009"/>
        </w:numPr>
        <w:spacing w:line="312" w:lineRule="auto" w:before="0" w:after="160"/>
      </w:pPr>
      <w:r>
        <w:rPr>
          <w:sz w:val="22"/>
        </w:rPr>
        <w:t xml:space="preserve">Je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decide</w:t>
      </w:r>
      <w:r>
        <w:rPr>
          <w:sz w:val="22"/>
        </w:rPr>
        <w:t xml:space="preserve"> </w:t>
      </w:r>
      <w:r>
        <w:rPr>
          <w:sz w:val="22"/>
        </w:rPr>
        <w:t xml:space="preserve">(ouvrir / signaler / supprimer) + justification</w:t>
      </w:r>
    </w:p>
    <w:bookmarkEnd w:id="23"/>
    <w:bookmarkStart w:id="24" w:name="d.-mises-a-jour-postes-logiciels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D. Mises a jour / postes / logiciels</w:t>
      </w:r>
    </w:p>
    <w:p>
      <w:pPr>
        <w:pStyle w:val="FirstParagraph"/>
        <w:spacing w:line="312" w:lineRule="auto" w:before="0" w:after="160"/>
      </w:pPr>
      <w:r>
        <w:rPr>
          <w:sz w:val="22"/>
        </w:rPr>
        <w:t xml:space="preserve">Pourquoi c’est important ? ________________________________________________</w:t>
      </w:r>
    </w:p>
    <w:bookmarkEnd w:id="24"/>
    <w:bookmarkEnd w:id="25"/>
    <w:bookmarkStart w:id="29" w:name="rgpd-version-simple-utile-au-technicien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5) RGPD (version simple, utile au technicien)</w:t>
      </w:r>
    </w:p>
    <w:bookmarkStart w:id="26" w:name="quest-ce-quune-donnee-personnelle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Qu’est-ce qu’une donnee personnelle ?</w:t>
      </w:r>
    </w:p>
    <w:p>
      <w:pPr>
        <w:pStyle w:val="FirstParagraph"/>
        <w:spacing w:line="312" w:lineRule="auto" w:before="0" w:after="160"/>
      </w:pPr>
      <w:r>
        <w:rPr>
          <w:sz w:val="22"/>
        </w:rPr>
        <w:t xml:space="preserve">Definition simple : ________________________________________________________</w:t>
      </w:r>
    </w:p>
    <w:p>
      <w:pPr>
        <w:pStyle w:val="BodyText"/>
        <w:spacing w:line="312" w:lineRule="auto" w:before="0" w:after="160"/>
      </w:pPr>
      <w:r>
        <w:rPr>
          <w:sz w:val="22"/>
        </w:rPr>
        <w:t xml:space="preserve">Exemples (3) :</w:t>
      </w:r>
    </w:p>
    <w:bookmarkEnd w:id="26"/>
    <w:bookmarkStart w:id="27" w:name="principes-rgpd-6-mots-cles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Principes RGPD (6) — mots-cles</w:t>
      </w:r>
    </w:p>
    <w:bookmarkEnd w:id="27"/>
    <w:bookmarkStart w:id="28" w:name="droits-des-personnes-citer-au-moins-4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Droits des personnes (citer au moins 4)</w:t>
      </w:r>
    </w:p>
    <w:bookmarkEnd w:id="28"/>
    <w:bookmarkEnd w:id="29"/>
    <w:bookmarkStart w:id="30" w:name="X5ade5e3920e57556803a820cb4e739cf5ff71ea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6) Procedure pro de base — traiter un signalement de phishing (niveau 1CIEL)</w:t>
      </w:r>
    </w:p>
    <w:p>
      <w:pPr>
        <w:pStyle w:val="Compact"/>
        <w:numPr>
          <w:ilvl w:val="0"/>
          <w:numId w:val="1013"/>
        </w:numPr>
        <w:spacing w:line="312" w:lineRule="auto" w:before="0" w:after="160"/>
      </w:pPr>
      <w:r>
        <w:rPr>
          <w:b/>
          <w:bCs/>
          <w:sz w:val="22"/>
        </w:rPr>
        <w:t xml:space="preserve">Recevoir / observer</w:t>
      </w:r>
      <w:r>
        <w:rPr>
          <w:sz w:val="22"/>
        </w:rPr>
        <w:t xml:space="preserve"> </w:t>
      </w:r>
      <w:r>
        <w:rPr>
          <w:sz w:val="22"/>
        </w:rPr>
        <w:t xml:space="preserve">le message suspect</w:t>
      </w:r>
    </w:p>
    <w:p>
      <w:pPr>
        <w:pStyle w:val="Compact"/>
        <w:numPr>
          <w:ilvl w:val="0"/>
          <w:numId w:val="1013"/>
        </w:numPr>
        <w:spacing w:line="312" w:lineRule="auto" w:before="0" w:after="160"/>
      </w:pPr>
      <w:r>
        <w:rPr>
          <w:b/>
          <w:bCs/>
          <w:sz w:val="22"/>
        </w:rPr>
        <w:t xml:space="preserve">Identifier</w:t>
      </w:r>
      <w:r>
        <w:rPr>
          <w:sz w:val="22"/>
        </w:rPr>
        <w:t xml:space="preserve"> </w:t>
      </w:r>
      <w:r>
        <w:rPr>
          <w:sz w:val="22"/>
        </w:rPr>
        <w:t xml:space="preserve">les indices (tableau phishing)</w:t>
      </w:r>
    </w:p>
    <w:p>
      <w:pPr>
        <w:pStyle w:val="Compact"/>
        <w:numPr>
          <w:ilvl w:val="0"/>
          <w:numId w:val="1013"/>
        </w:numPr>
        <w:spacing w:line="312" w:lineRule="auto" w:before="0" w:after="160"/>
      </w:pPr>
      <w:r>
        <w:rPr>
          <w:b/>
          <w:bCs/>
          <w:sz w:val="22"/>
        </w:rPr>
        <w:t xml:space="preserve">Classer</w:t>
      </w:r>
      <w:r>
        <w:rPr>
          <w:sz w:val="22"/>
        </w:rPr>
        <w:t xml:space="preserve"> </w:t>
      </w:r>
      <w:r>
        <w:rPr>
          <w:sz w:val="22"/>
        </w:rPr>
        <w:t xml:space="preserve">la menace</w:t>
      </w:r>
    </w:p>
    <w:p>
      <w:pPr>
        <w:pStyle w:val="Compact"/>
        <w:numPr>
          <w:ilvl w:val="0"/>
          <w:numId w:val="1013"/>
        </w:numPr>
        <w:spacing w:line="312" w:lineRule="auto" w:before="0" w:after="160"/>
      </w:pPr>
      <w:r>
        <w:rPr>
          <w:b/>
          <w:bCs/>
          <w:sz w:val="22"/>
        </w:rPr>
        <w:t xml:space="preserve">Verifier</w:t>
      </w:r>
      <w:r>
        <w:rPr>
          <w:sz w:val="22"/>
        </w:rPr>
        <w:t xml:space="preserve"> </w:t>
      </w:r>
      <w:r>
        <w:rPr>
          <w:sz w:val="22"/>
        </w:rPr>
        <w:t xml:space="preserve">l’URL / pieces jointes avec outils autorises (sans exposer de vraies donnees)</w:t>
      </w:r>
    </w:p>
    <w:p>
      <w:pPr>
        <w:pStyle w:val="Compact"/>
        <w:numPr>
          <w:ilvl w:val="0"/>
          <w:numId w:val="1013"/>
        </w:numPr>
        <w:spacing w:line="312" w:lineRule="auto" w:before="0" w:after="160"/>
      </w:pPr>
      <w:r>
        <w:rPr>
          <w:b/>
          <w:bCs/>
          <w:sz w:val="22"/>
        </w:rPr>
        <w:t xml:space="preserve">Formuler</w:t>
      </w:r>
      <w:r>
        <w:rPr>
          <w:sz w:val="22"/>
        </w:rPr>
        <w:t xml:space="preserve"> </w:t>
      </w:r>
      <w:r>
        <w:rPr>
          <w:sz w:val="22"/>
        </w:rPr>
        <w:t xml:space="preserve">des recommandations de securite adaptees a la PME</w:t>
      </w:r>
    </w:p>
    <w:p>
      <w:pPr>
        <w:pStyle w:val="Compact"/>
        <w:numPr>
          <w:ilvl w:val="0"/>
          <w:numId w:val="1013"/>
        </w:numPr>
        <w:spacing w:line="312" w:lineRule="auto" w:before="0" w:after="160"/>
      </w:pPr>
      <w:r>
        <w:rPr>
          <w:b/>
          <w:bCs/>
          <w:sz w:val="22"/>
        </w:rPr>
        <w:t xml:space="preserve">Tracer</w:t>
      </w:r>
      <w:r>
        <w:rPr>
          <w:sz w:val="22"/>
        </w:rPr>
        <w:t xml:space="preserve"> </w:t>
      </w:r>
      <w:r>
        <w:rPr>
          <w:sz w:val="22"/>
        </w:rPr>
        <w:t xml:space="preserve">(captures + commentaire) et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remonter</w:t>
      </w:r>
      <w:r>
        <w:rPr>
          <w:sz w:val="22"/>
        </w:rPr>
        <w:t xml:space="preserve"> </w:t>
      </w:r>
      <w:r>
        <w:rPr>
          <w:sz w:val="22"/>
        </w:rPr>
        <w:t xml:space="preserve">au responsable</w:t>
      </w:r>
    </w:p>
    <w:bookmarkEnd w:id="30"/>
    <w:bookmarkStart w:id="31" w:name="double-codage-schema-memoire-a-completer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7) Double codage (schema memoire a completer)</w:t>
      </w:r>
    </w:p>
    <w:p>
      <w:pPr>
        <w:pStyle w:val="SourceCode"/>
        <w:spacing w:line="312" w:lineRule="auto" w:before="0" w:after="160"/>
      </w:pPr>
      <w:r>
        <w:rPr>
          <w:rStyle w:val="VerbatimChar"/>
          <w:sz w:val="22"/>
        </w:rPr>
        <w:t xml:space="preserve">MENACE -&gt; INDICES -&gt; VERIFICATION -&gt; DECISION -&gt; RECOMMANDATIONS</w:t>
      </w:r>
      <w:r>
        <w:rPr>
          <w:sz w:val="22"/>
        </w:rPr>
        <w:br/>
      </w:r>
      <w:r>
        <w:rPr>
          <w:rStyle w:val="VerbatimChar"/>
          <w:sz w:val="22"/>
        </w:rPr>
        <w:t xml:space="preserve">   |         |            |             |             |</w:t>
      </w:r>
      <w:r>
        <w:rPr>
          <w:sz w:val="22"/>
        </w:rPr>
        <w:br/>
      </w:r>
      <w:r>
        <w:rPr>
          <w:rStyle w:val="VerbatimChar"/>
          <w:sz w:val="22"/>
        </w:rPr>
        <w:t xml:space="preserve">   |         |            |             |             +-&gt; hygiene + RGPD</w:t>
      </w:r>
      <w:r>
        <w:rPr>
          <w:sz w:val="22"/>
        </w:rPr>
        <w:br/>
      </w:r>
      <w:r>
        <w:rPr>
          <w:rStyle w:val="VerbatimChar"/>
          <w:sz w:val="22"/>
        </w:rPr>
        <w:t xml:space="preserve">   |         |            |             +-&gt; signaler / supprimer / isoler</w:t>
      </w:r>
      <w:r>
        <w:rPr>
          <w:sz w:val="22"/>
        </w:rPr>
        <w:br/>
      </w:r>
      <w:r>
        <w:rPr>
          <w:rStyle w:val="VerbatimChar"/>
          <w:sz w:val="22"/>
        </w:rPr>
        <w:t xml:space="preserve">   |         |            +-&gt; VirusTotal / HIBP / source ANSSI-CNIL</w:t>
      </w:r>
      <w:r>
        <w:rPr>
          <w:sz w:val="22"/>
        </w:rPr>
        <w:br/>
      </w:r>
      <w:r>
        <w:rPr>
          <w:rStyle w:val="VerbatimChar"/>
          <w:sz w:val="22"/>
        </w:rPr>
        <w:t xml:space="preserve">   |         +-&gt; expéditeur / URL / ton / pieces jointes</w:t>
      </w:r>
      <w:r>
        <w:rPr>
          <w:sz w:val="22"/>
        </w:rPr>
        <w:br/>
      </w:r>
      <w:r>
        <w:rPr>
          <w:rStyle w:val="VerbatimChar"/>
          <w:sz w:val="22"/>
        </w:rPr>
        <w:t xml:space="preserve">   +-&gt; phishing / malware / ransomware / ing. sociale</w:t>
      </w:r>
    </w:p>
    <w:bookmarkEnd w:id="31"/>
    <w:bookmarkStart w:id="32" w:name="ce-que-je-dois-savoir-refaire-seule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8) Ce que je dois savoir refaire seul(e)</w:t>
      </w:r>
    </w:p>
    <w:p>
      <w:pPr>
        <w:pStyle w:val="Compact"/>
        <w:numPr>
          <w:ilvl w:val="0"/>
          <w:numId w:val="1014"/>
        </w:numPr>
        <w:spacing w:line="312" w:lineRule="auto" w:before="0" w:after="160"/>
      </w:pPr>
      <w:r>
        <w:rPr>
          <w:sz w:val="22"/>
        </w:rPr>
        <w:t xml:space="preserve">Reconnaitre un phishing (indices)</w:t>
      </w:r>
    </w:p>
    <w:p>
      <w:pPr>
        <w:pStyle w:val="Compact"/>
        <w:numPr>
          <w:ilvl w:val="0"/>
          <w:numId w:val="1015"/>
        </w:numPr>
        <w:spacing w:line="312" w:lineRule="auto" w:before="0" w:after="160"/>
      </w:pPr>
      <w:r>
        <w:rPr>
          <w:sz w:val="22"/>
        </w:rPr>
        <w:t xml:space="preserve">Expliquer ANSSI vs CNIL</w:t>
      </w:r>
    </w:p>
    <w:p>
      <w:pPr>
        <w:pStyle w:val="Compact"/>
        <w:numPr>
          <w:ilvl w:val="0"/>
          <w:numId w:val="1016"/>
        </w:numPr>
        <w:spacing w:line="312" w:lineRule="auto" w:before="0" w:after="160"/>
      </w:pPr>
      <w:r>
        <w:rPr>
          <w:sz w:val="22"/>
        </w:rPr>
        <w:t xml:space="preserve">Appliquer une verification d’URL suspecte (methode securisee)</w:t>
      </w:r>
    </w:p>
    <w:p>
      <w:pPr>
        <w:pStyle w:val="Compact"/>
        <w:numPr>
          <w:ilvl w:val="0"/>
          <w:numId w:val="1017"/>
        </w:numPr>
        <w:spacing w:line="312" w:lineRule="auto" w:before="0" w:after="160"/>
      </w:pPr>
      <w:r>
        <w:rPr>
          <w:sz w:val="22"/>
        </w:rPr>
        <w:t xml:space="preserve">Expliquer la regle 3-2-1</w:t>
      </w:r>
    </w:p>
    <w:p>
      <w:pPr>
        <w:pStyle w:val="Compact"/>
        <w:numPr>
          <w:ilvl w:val="0"/>
          <w:numId w:val="1018"/>
        </w:numPr>
        <w:spacing w:line="312" w:lineRule="auto" w:before="0" w:after="160"/>
      </w:pPr>
      <w:r>
        <w:rPr>
          <w:sz w:val="22"/>
        </w:rPr>
        <w:t xml:space="preserve">Citer des principes RGPD utiles a une PME</w:t>
      </w:r>
    </w:p>
    <w:p>
      <w:pPr>
        <w:pStyle w:val="Compact"/>
        <w:numPr>
          <w:ilvl w:val="0"/>
          <w:numId w:val="1019"/>
        </w:numPr>
        <w:spacing w:line="312" w:lineRule="auto" w:before="0" w:after="160"/>
      </w:pPr>
      <w:r>
        <w:rPr>
          <w:sz w:val="22"/>
        </w:rPr>
        <w:t xml:space="preserve">Rediger 5 recommandations de securite argumentees</w:t>
      </w:r>
    </w:p>
    <w:bookmarkEnd w:id="32"/>
    <w:bookmarkStart w:id="33" w:name="bilan-metacognitif-fin-de-sequence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9) Bilan metacognitif (fin de sequence)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Ce que j’ai compris :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Ce que je dois revoir :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Ou j’ai bloque :</w:t>
      </w:r>
    </w:p>
    <w:bookmarkEnd w:id="33"/>
    <w:bookmarkEnd w:id="34"/>
    <w:sectPr>
      <w:headerReference r:id="rId7" w:type="default"/>
      <w:footerReference r:id="rId8" w:type="default"/>
      <w:headerReference w:type="first" r:id="rId1"/>
      <w:footerReference w:type="first" r:id="rId2"/>
      <w:headerReference w:type="even" r:id="rId3"/>
      <w:footerReference w:type="even" r:id="rId4"/>
      <w:pgSz w:h="16838" w:orient="portrait" w:w="11906"/>
      <w:pgMar w:bottom="1008" w:footer="708" w:gutter="0" w:header="708" w:left="1008" w:right="1008" w:top="1008"/>
      <w:pgNumType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6DEE5" w:sz="4" w:space="4"/>
      </w:pBdr>
      <w:spacing w:before="0" w:after="0" w:line="240" w:lineRule="auto"/>
      <w:tabs>
        <w:tab w:val="right" w:leader="none" w:pos="6280150"/>
      </w:tabs>
    </w:pPr>
    <w:r>
      <w:rPr>
        <w:rFonts w:ascii="Arial" w:cs="Arial" w:eastAsia="Arial" w:hAnsi="Arial"/>
        <w:color w:val="8A9CAB"/>
        <w:sz w:val="16"/>
        <w:szCs w:val="16"/>
      </w:rPr>
      <w:t>00 — Fiche de synthese (co-construction) — Introduction cybersécurité (ELEVE)</w:t>
    </w:r>
    <w:r>
      <w:tab/>
    </w:r>
    <w:r>
      <w:rPr>
        <w:rFonts w:ascii="Arial" w:cs="Arial" w:eastAsia="Arial" w:hAnsi="Arial"/>
        <w:color w:val="8A9CAB"/>
        <w:sz w:val="16"/>
        <w:szCs w:val="16"/>
      </w:rPr>
      <w:t xml:space="preserve">Page </w:t>
    </w:r>
    <w:r>
      <w:rPr>
        <w:rFonts w:ascii="Arial" w:cs="Arial" w:eastAsia="Arial" w:hAnsi="Arial"/>
        <w:color w:val="8A9CAB"/>
        <w:sz w:val="16"/>
        <w:szCs w:val="16"/>
      </w:rPr>
      <w:fldChar w:fldCharType="begin"/>
      <w:instrText xml:space="preserve">PAGE</w:instrText>
      <w:fldChar w:fldCharType="separate"/>
      <w:fldChar w:fldCharType="end"/>
    </w:r>
  </w:p>
</w:ftr>
</file>

<file path=word/footer2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footer3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pBdr>
        <w:bottom w:val="single" w:color="2C5F7C" w:sz="8" w:space="4"/>
      </w:pBdr>
      <w:spacing w:after="80"/>
      <w:tabs>
        <w:tab w:val="right" w:leader="none" w:pos="6280150"/>
      </w:tabs>
    </w:pPr>
    <w:r>
      <w:rPr>
        <w:rFonts w:ascii="Arial" w:cs="Arial" w:eastAsia="Arial" w:hAnsi="Arial"/>
        <w:color w:val="556B7A"/>
        <w:sz w:val="17"/>
        <w:szCs w:val="17"/>
      </w:rPr>
      <w:t>Bac Pro CIEL — 1CIEL</w:t>
    </w:r>
    <w:r>
      <w:t xml:space="preserve">	</w:t>
    </w:r>
    <w:r>
      <w:rPr>
        <w:rFonts w:ascii="Arial" w:cs="Arial" w:eastAsia="Arial" w:hAnsi="Arial"/>
        <w:b/>
        <w:bCs/>
        <w:color w:val="2C5F7C"/>
        <w:sz w:val="17"/>
        <w:szCs w:val="17"/>
      </w:rPr>
      <w:t>DOCUMENT ELEVE</w:t>
    </w:r>
  </w:p>
</w:hdr>
</file>

<file path=word/header2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header3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15:restartNumberingAfterBreak="0" w:abstractNumId="1">
    <w:multiLevelType w:val="hybridMultilevel"/>
    <w:lvl w15:tentative="1" w:ilvl="0">
      <w:start w:val="1"/>
      <w:numFmt w:val="bullet"/>
      <w:lvlText w:val="●"/>
      <w:lvlJc w:val="left"/>
      <w:pPr>
        <w:ind w:hanging="360" w:left="720"/>
      </w:pPr>
    </w:lvl>
    <w:lvl w15:tentative="1" w:ilvl="1">
      <w:start w:val="1"/>
      <w:numFmt w:val="bullet"/>
      <w:lvlText w:val="○"/>
      <w:lvlJc w:val="left"/>
      <w:pPr>
        <w:ind w:hanging="360" w:left="1440"/>
      </w:pPr>
    </w:lvl>
    <w:lvl w15:tentative="1" w:ilvl="2">
      <w:start w:val="1"/>
      <w:numFmt w:val="bullet"/>
      <w:lvlText w:val="■"/>
      <w:lvlJc w:val="left"/>
      <w:pPr>
        <w:ind w:hanging="360" w:left="2160"/>
      </w:pPr>
    </w:lvl>
    <w:lvl w15:tentative="1" w:ilvl="3">
      <w:start w:val="1"/>
      <w:numFmt w:val="bullet"/>
      <w:lvlText w:val="●"/>
      <w:lvlJc w:val="left"/>
      <w:pPr>
        <w:ind w:hanging="360" w:left="2880"/>
      </w:pPr>
    </w:lvl>
    <w:lvl w15:tentative="1" w:ilvl="4">
      <w:start w:val="1"/>
      <w:numFmt w:val="bullet"/>
      <w:lvlText w:val="○"/>
      <w:lvlJc w:val="left"/>
      <w:pPr>
        <w:ind w:hanging="360" w:left="3600"/>
      </w:pPr>
    </w:lvl>
    <w:lvl w15:tentative="1" w:ilvl="5">
      <w:start w:val="1"/>
      <w:numFmt w:val="bullet"/>
      <w:lvlText w:val="■"/>
      <w:lvlJc w:val="left"/>
      <w:pPr>
        <w:ind w:hanging="360" w:left="4320"/>
      </w:pPr>
    </w:lvl>
    <w:lvl w15:tentative="1" w:ilvl="6">
      <w:start w:val="1"/>
      <w:numFmt w:val="bullet"/>
      <w:lvlText w:val="●"/>
      <w:lvlJc w:val="left"/>
      <w:pPr>
        <w:ind w:hanging="360" w:left="5040"/>
      </w:pPr>
    </w:lvl>
    <w:lvl w15:tentative="1" w:ilvl="7">
      <w:start w:val="1"/>
      <w:numFmt w:val="bullet"/>
      <w:lvlText w:val="●"/>
      <w:lvlJc w:val="left"/>
      <w:pPr>
        <w:ind w:hanging="360" w:left="5760"/>
      </w:pPr>
    </w:lvl>
    <w:lvl w15:tentative="1" w:ilvl="8">
      <w:start w:val="1"/>
      <w:numFmt w:val="bullet"/>
      <w:lvlText w:val="●"/>
      <w:lvlJc w:val="left"/>
      <w:pPr>
        <w:ind w:hanging="360" w:left="6480"/>
      </w:p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92">
    <w:nsid w:val="0000A992"/>
    <w:multiLevelType w:val="multilevel"/>
    <w:lvl w:ilvl="0">
      <w:numFmt w:val="bullet"/>
      <w:lvlText w:val="☐"/>
      <w:lvlJc w:val="left"/>
      <w:pPr>
        <w:ind w:left="720" w:hanging="360"/>
      </w:pPr>
    </w:lvl>
    <w:lvl w:ilvl="1">
      <w:numFmt w:val="bullet"/>
      <w:lvlText w:val="☐"/>
      <w:lvlJc w:val="left"/>
      <w:pPr>
        <w:ind w:left="1440" w:hanging="360"/>
      </w:pPr>
    </w:lvl>
    <w:lvl w:ilvl="2">
      <w:numFmt w:val="bullet"/>
      <w:lvlText w:val="☐"/>
      <w:lvlJc w:val="left"/>
      <w:pPr>
        <w:ind w:left="2160" w:hanging="360"/>
      </w:pPr>
    </w:lvl>
    <w:lvl w:ilvl="3">
      <w:numFmt w:val="bullet"/>
      <w:lvlText w:val="☐"/>
      <w:lvlJc w:val="left"/>
      <w:pPr>
        <w:ind w:left="2880" w:hanging="360"/>
      </w:pPr>
    </w:lvl>
    <w:lvl w:ilvl="4">
      <w:numFmt w:val="bullet"/>
      <w:lvlText w:val="☐"/>
      <w:lvlJc w:val="left"/>
      <w:pPr>
        <w:ind w:left="3600" w:hanging="360"/>
      </w:pPr>
    </w:lvl>
    <w:lvl w:ilvl="5">
      <w:numFmt w:val="bullet"/>
      <w:lvlText w:val="☐"/>
      <w:lvlJc w:val="left"/>
      <w:pPr>
        <w:ind w:left="4320" w:hanging="360"/>
      </w:pPr>
    </w:lvl>
    <w:lvl w:ilvl="6">
      <w:numFmt w:val="bullet"/>
      <w:lvlText w:val="☐"/>
      <w:lvlJc w:val="left"/>
      <w:pPr>
        <w:ind w:left="5040" w:hanging="360"/>
      </w:pPr>
    </w:lvl>
    <w:lvl w:ilvl="7">
      <w:numFmt w:val="bullet"/>
      <w:lvlText w:val="☐"/>
      <w:lvlJc w:val="left"/>
      <w:pPr>
        <w:ind w:left="5760" w:hanging="360"/>
      </w:pPr>
    </w:lvl>
    <w:lvl w:ilvl="8">
      <w:numFmt w:val="bullet"/>
      <w:lvlText w:val="☐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  <w:num w:numId="1000">
    <w:abstractNumId w:val="990"/>
  </w:num>
  <w:num w:numId="1001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2">
    <w:abstractNumId w:val="991"/>
  </w:num>
  <w:num w:numId="1003">
    <w:abstractNumId w:val="992"/>
  </w:num>
  <w:num w:numId="1004">
    <w:abstractNumId w:val="992"/>
  </w:num>
  <w:num w:numId="1005">
    <w:abstractNumId w:val="992"/>
  </w:num>
  <w:num w:numId="1006">
    <w:abstractNumId w:val="992"/>
  </w:num>
  <w:num w:numId="1007">
    <w:abstractNumId w:val="992"/>
  </w:num>
  <w:num w:numId="1008">
    <w:abstractNumId w:val="991"/>
  </w:num>
  <w:num w:numId="1009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0">
    <w:abstractNumId w:val="991"/>
  </w:num>
  <w:num w:numId="1011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2">
    <w:abstractNumId w:val="991"/>
  </w:num>
  <w:num w:numId="1013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4">
    <w:abstractNumId w:val="992"/>
  </w:num>
  <w:num w:numId="1015">
    <w:abstractNumId w:val="992"/>
  </w:num>
  <w:num w:numId="1016">
    <w:abstractNumId w:val="992"/>
  </w:num>
  <w:num w:numId="1017">
    <w:abstractNumId w:val="992"/>
  </w:num>
  <w:num w:numId="1018">
    <w:abstractNumId w:val="992"/>
  </w:num>
  <w:num w:numId="1019">
    <w:abstractNumId w:val="992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displayBackgroundShape/>
  <w:embedSystemFonts/>
  <w:proofState w:grammar="clean" w:spelling="clean"/>
  <w:stylePaneFormatFilter w:val="0004"/>
  <w:doNotTrackMoves/>
  <w:defaultTabStop w:val="720"/>
  <w:evenAndOddHeaders w:val="false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compatSetting w:name="compatibilityMode" w:uri="http://schemas.microsoft.com/office/word" w:val="15"/>
  </w:compat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1"/>
        <w:szCs w:val="21"/>
      </w:rPr>
    </w:rPrDefault>
    <w:pPrDefault/>
  </w:docDefaults>
  <w:style w:styleId="Title" w:type="paragraph">
    <w:name w:val="Title"/>
    <w:basedOn w:val="Normal"/>
    <w:next w:val="Normal"/>
    <w:qFormat/>
    <w:rPr>
      <w:sz w:val="56"/>
      <w:szCs w:val="56"/>
    </w:rPr>
  </w:style>
  <w:style w:styleId="Heading1" w:type="paragraph">
    <w:name w:val="Heading 1"/>
    <w:basedOn w:val="Normal"/>
    <w:next w:val="Normal"/>
    <w:qFormat/>
    <w:rPr>
      <w:color w:val="2E74B5"/>
      <w:sz w:val="32"/>
      <w:szCs w:val="32"/>
    </w:rPr>
  </w:style>
  <w:style w:styleId="Heading2" w:type="paragraph">
    <w:name w:val="Heading 2"/>
    <w:basedOn w:val="Normal"/>
    <w:next w:val="Normal"/>
    <w:qFormat/>
    <w:rPr>
      <w:color w:val="2E74B5"/>
      <w:sz w:val="26"/>
      <w:szCs w:val="26"/>
    </w:rPr>
  </w:style>
  <w:style w:styleId="Heading3" w:type="paragraph">
    <w:name w:val="Heading 3"/>
    <w:basedOn w:val="Normal"/>
    <w:next w:val="Normal"/>
    <w:qFormat/>
    <w:rPr>
      <w:color w:val="1F4D78"/>
      <w:sz w:val="24"/>
      <w:szCs w:val="24"/>
    </w:rPr>
  </w:style>
  <w:style w:styleId="Heading4" w:type="paragraph">
    <w:name w:val="Heading 4"/>
    <w:basedOn w:val="Normal"/>
    <w:next w:val="Normal"/>
    <w:qFormat/>
    <w:rPr>
      <w:i/>
      <w:iCs/>
      <w:color w:val="2E74B5"/>
    </w:rPr>
  </w:style>
  <w:style w:styleId="Heading5" w:type="paragraph">
    <w:name w:val="Heading 5"/>
    <w:basedOn w:val="Normal"/>
    <w:next w:val="Normal"/>
    <w:qFormat/>
    <w:rPr>
      <w:color w:val="2E74B5"/>
    </w:rPr>
  </w:style>
  <w:style w:styleId="Heading6" w:type="paragraph">
    <w:name w:val="Heading 6"/>
    <w:basedOn w:val="Normal"/>
    <w:next w:val="Normal"/>
    <w:qFormat/>
    <w:rPr>
      <w:color w:val="1F4D78"/>
    </w:rPr>
  </w:style>
  <w:style w:styleId="Strong" w:type="paragraph">
    <w:name w:val="Strong"/>
    <w:basedOn w:val="Normal"/>
    <w:next w:val="Normal"/>
    <w:qFormat/>
    <w:rPr>
      <w:b/>
      <w:bCs/>
    </w:rPr>
  </w:style>
  <w:style w:styleId="ListParagraph" w:type="paragraph">
    <w:name w:val="List Paragraph"/>
    <w:basedOn w:val="Normal"/>
    <w:qFormat/>
  </w:style>
  <w:style w:styleId="Hyperlink" w:type="character">
    <w:name w:val="Hyperlink"/>
    <w:basedOn w:val="DefaultParagraphFont"/>
    <w:uiPriority w:val="99"/>
    <w:unhideWhenUsed/>
    <w:rPr>
      <w:color w:val="0563C1"/>
      <w:u w:val="single"/>
    </w:rPr>
  </w:style>
  <w:style w:styleId="FootnoteReference" w:type="character">
    <w:name w:val="footnote reference"/>
    <w:basedOn w:val="DefaultParagraphFont"/>
    <w:uiPriority w:val="99"/>
    <w:semiHidden/>
    <w:unhideWhenUsed/>
    <w:rPr>
      <w:vertAlign w:val="superscript"/>
    </w:rPr>
  </w:style>
  <w:style w:styleId="FootnoteText" w:type="paragraph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styleId="FootnoteTextChar" w:type="characte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styleId="EndnoteReference" w:type="character">
    <w:name w:val="endnote reference"/>
    <w:basedOn w:val="DefaultParagraphFont"/>
    <w:uiPriority w:val="99"/>
    <w:semiHidden/>
    <w:unhideWhenUsed/>
    <w:rPr>
      <w:vertAlign w:val="superscript"/>
    </w:rPr>
  </w:style>
  <w:style w:styleId="EndnoteText" w:type="paragraph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styleId="EndnoteTextChar" w:type="characte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'1.0' encoding='UTF-8' standalone='yes'?>
<Relationships xmlns="http://schemas.openxmlformats.org/package/2006/relationships"><Relationship Id="rId16" Type="http://schemas.openxmlformats.org/officeDocument/2006/relationships/numbering" Target="numbering.xml"/><Relationship Id="rId15" Type="http://schemas.openxmlformats.org/officeDocument/2006/relationships/styles" Target="styles.xml"/><Relationship Id="rId14" Type="http://schemas.openxmlformats.org/officeDocument/2006/relationships/settings" Target="settings.xml"/><Relationship Id="rId13" Type="http://schemas.openxmlformats.org/officeDocument/2006/relationships/webSettings" Target="webSettings.xml"/><Relationship Id="rId12" Type="http://schemas.openxmlformats.org/officeDocument/2006/relationships/fontTable" Target="fontTable.xml"/><Relationship Id="rId11" Type="http://schemas.openxmlformats.org/officeDocument/2006/relationships/theme" Target="theme/theme1.xml"/><Relationship Id="rId10" Type="http://schemas.openxmlformats.org/officeDocument/2006/relationships/footnotes" Target="footnotes.xml"/><Relationship Id="rId9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1" Type="http://schemas.openxmlformats.org/officeDocument/2006/relationships/header" Target="header2.xml"/><Relationship Id="rId2" Type="http://schemas.openxmlformats.org/officeDocument/2006/relationships/footer" Target="footer2.xml"/><Relationship Id="rId3" Type="http://schemas.openxmlformats.org/officeDocument/2006/relationships/header" Target="header3.xml"/><Relationship Id="rId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2026-04-27T18:01:19Z</dcterms:created>
  <dcterms:modified xsi:type="dcterms:W3CDTF">2026-04-27T18:01:19Z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